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A893A" w14:textId="424092A2" w:rsidR="006D781C" w:rsidRPr="00CD3DE8" w:rsidRDefault="00B4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DE8">
        <w:rPr>
          <w:rFonts w:ascii="Times New Roman" w:eastAsia="Times New Roman" w:hAnsi="Times New Roman" w:cs="Times New Roman"/>
          <w:b/>
          <w:sz w:val="24"/>
          <w:szCs w:val="24"/>
        </w:rPr>
        <w:t xml:space="preserve">CITY OF MOAB RESOLUTION NO. </w:t>
      </w:r>
      <w:r w:rsidR="002A475F" w:rsidRPr="00CD3DE8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="00753E6E" w:rsidRPr="00CD3DE8">
        <w:rPr>
          <w:rFonts w:ascii="Times New Roman" w:eastAsia="Times New Roman" w:hAnsi="Times New Roman" w:cs="Times New Roman"/>
          <w:b/>
          <w:sz w:val="24"/>
          <w:szCs w:val="24"/>
        </w:rPr>
        <w:t>-2019</w:t>
      </w:r>
    </w:p>
    <w:p w14:paraId="42DF5441" w14:textId="2A05196B" w:rsidR="006D781C" w:rsidRPr="00CD3DE8" w:rsidRDefault="00753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DE8">
        <w:rPr>
          <w:rFonts w:ascii="Times New Roman" w:eastAsia="Times New Roman" w:hAnsi="Times New Roman" w:cs="Times New Roman"/>
          <w:b/>
          <w:sz w:val="24"/>
          <w:szCs w:val="24"/>
        </w:rPr>
        <w:t xml:space="preserve">A RESOLUTION ADOPTING </w:t>
      </w:r>
      <w:r w:rsidR="006D7A6B" w:rsidRPr="00CD3DE8">
        <w:rPr>
          <w:rFonts w:ascii="Times New Roman" w:eastAsia="Times New Roman" w:hAnsi="Times New Roman" w:cs="Times New Roman"/>
          <w:b/>
          <w:sz w:val="24"/>
          <w:szCs w:val="24"/>
        </w:rPr>
        <w:t>VULNERABILITY, CONSEQUENCES, AND ADAPTATION PLANNING (VCAP) RECOMMENDATIONS</w:t>
      </w:r>
    </w:p>
    <w:p w14:paraId="0CB027D2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B16AF" w14:textId="450D6F1F" w:rsidR="00753E6E" w:rsidRPr="00CD3DE8" w:rsidRDefault="006D7A6B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WHEREAS, </w:t>
      </w:r>
      <w:r w:rsidR="00F8308F" w:rsidRPr="00CD3DE8">
        <w:rPr>
          <w:rFonts w:ascii="Times New Roman" w:hAnsi="Times New Roman" w:cs="Times New Roman"/>
          <w:w w:val="105"/>
          <w:sz w:val="20"/>
          <w:szCs w:val="20"/>
        </w:rPr>
        <w:t xml:space="preserve">drought and a reduced water supply are 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concerns</w:t>
      </w:r>
      <w:r w:rsidR="00F8308F" w:rsidRPr="00CD3DE8">
        <w:rPr>
          <w:rFonts w:ascii="Times New Roman" w:hAnsi="Times New Roman" w:cs="Times New Roman"/>
          <w:w w:val="105"/>
          <w:sz w:val="20"/>
          <w:szCs w:val="20"/>
        </w:rPr>
        <w:t xml:space="preserve"> in the Spanish Valley</w:t>
      </w:r>
      <w:r w:rsidR="00CD3DE8">
        <w:rPr>
          <w:rFonts w:ascii="Times New Roman" w:hAnsi="Times New Roman" w:cs="Times New Roman"/>
          <w:w w:val="105"/>
          <w:sz w:val="20"/>
          <w:szCs w:val="20"/>
        </w:rPr>
        <w:t xml:space="preserve"> and </w:t>
      </w:r>
      <w:r w:rsidR="00F8308F" w:rsidRPr="00CD3DE8">
        <w:rPr>
          <w:rFonts w:ascii="Times New Roman" w:hAnsi="Times New Roman" w:cs="Times New Roman"/>
          <w:w w:val="105"/>
          <w:sz w:val="20"/>
          <w:szCs w:val="20"/>
        </w:rPr>
        <w:t xml:space="preserve">Moab Region, in </w:t>
      </w:r>
      <w:r w:rsidR="00FC15AB" w:rsidRPr="00CD3DE8">
        <w:rPr>
          <w:rFonts w:ascii="Times New Roman" w:hAnsi="Times New Roman" w:cs="Times New Roman"/>
          <w:w w:val="105"/>
          <w:sz w:val="20"/>
          <w:szCs w:val="20"/>
        </w:rPr>
        <w:t>part,</w:t>
      </w:r>
      <w:r w:rsidR="00F8308F" w:rsidRPr="00CD3DE8">
        <w:rPr>
          <w:rFonts w:ascii="Times New Roman" w:hAnsi="Times New Roman" w:cs="Times New Roman"/>
          <w:w w:val="105"/>
          <w:sz w:val="20"/>
          <w:szCs w:val="20"/>
        </w:rPr>
        <w:t xml:space="preserve"> because there is uncertainty in terms of the quantity of water available in the region’s groundwater</w:t>
      </w:r>
      <w:r w:rsidR="00CD3DE8">
        <w:rPr>
          <w:rFonts w:ascii="Times New Roman" w:hAnsi="Times New Roman" w:cs="Times New Roman"/>
          <w:w w:val="105"/>
          <w:sz w:val="20"/>
          <w:szCs w:val="20"/>
        </w:rPr>
        <w:t>; and</w:t>
      </w:r>
    </w:p>
    <w:p w14:paraId="081F09FF" w14:textId="3E194410" w:rsidR="006D7A6B" w:rsidRPr="00CD3DE8" w:rsidRDefault="006D7A6B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WHEREAS, </w:t>
      </w:r>
      <w:r w:rsidR="00F87850" w:rsidRPr="00CD3DE8">
        <w:rPr>
          <w:rFonts w:ascii="Times New Roman" w:hAnsi="Times New Roman" w:cs="Times New Roman"/>
          <w:w w:val="105"/>
          <w:sz w:val="20"/>
          <w:szCs w:val="20"/>
        </w:rPr>
        <w:t>The City of Moab</w:t>
      </w:r>
      <w:r w:rsidR="00276D30" w:rsidRPr="00CD3DE8">
        <w:rPr>
          <w:rFonts w:ascii="Times New Roman" w:hAnsi="Times New Roman" w:cs="Times New Roman"/>
          <w:w w:val="105"/>
          <w:sz w:val="20"/>
          <w:szCs w:val="20"/>
        </w:rPr>
        <w:t>’s</w:t>
      </w:r>
      <w:r w:rsidRPr="00CD3D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temperature has risen by 1.9 degrees F since 2000 compared to 20th century average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; and</w:t>
      </w:r>
    </w:p>
    <w:p w14:paraId="0043EFA5" w14:textId="2EAD23C6" w:rsidR="006D7A6B" w:rsidRPr="00CD3DE8" w:rsidRDefault="00F87850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  <w:lang w:bidi="en-US"/>
        </w:rPr>
      </w:pPr>
      <w:r w:rsidRPr="00CD3DE8">
        <w:rPr>
          <w:rFonts w:ascii="Times New Roman" w:hAnsi="Times New Roman" w:cs="Times New Roman"/>
          <w:w w:val="105"/>
          <w:sz w:val="20"/>
          <w:szCs w:val="20"/>
          <w:lang w:bidi="en-US"/>
        </w:rPr>
        <w:t>WHEREAS,</w:t>
      </w:r>
      <w:r w:rsidR="006D7A6B" w:rsidRPr="00CD3D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6D30" w:rsidRPr="00CD3DE8">
        <w:rPr>
          <w:rFonts w:ascii="Times New Roman" w:hAnsi="Times New Roman" w:cs="Times New Roman"/>
          <w:w w:val="105"/>
          <w:sz w:val="20"/>
          <w:szCs w:val="20"/>
          <w:lang w:bidi="en-US"/>
        </w:rPr>
        <w:t>two</w:t>
      </w:r>
      <w:r w:rsidR="006D7A6B" w:rsidRPr="00CD3DE8">
        <w:rPr>
          <w:rFonts w:ascii="Times New Roman" w:hAnsi="Times New Roman" w:cs="Times New Roman"/>
          <w:w w:val="105"/>
          <w:sz w:val="20"/>
          <w:szCs w:val="20"/>
          <w:lang w:bidi="en-US"/>
        </w:rPr>
        <w:t xml:space="preserve"> of the fifth driest years since 1895 have occurred since 2000</w:t>
      </w:r>
      <w:r w:rsidR="00F8308F" w:rsidRPr="00CD3DE8">
        <w:rPr>
          <w:rFonts w:ascii="Times New Roman" w:hAnsi="Times New Roman" w:cs="Times New Roman"/>
          <w:w w:val="105"/>
          <w:sz w:val="20"/>
          <w:szCs w:val="20"/>
          <w:lang w:bidi="en-US"/>
        </w:rPr>
        <w:t xml:space="preserve"> and</w:t>
      </w:r>
      <w:r w:rsidR="00F8308F" w:rsidRPr="00CD3DE8">
        <w:rPr>
          <w:rFonts w:ascii="Times New Roman" w:hAnsi="Times New Roman" w:cs="Times New Roman"/>
          <w:sz w:val="20"/>
          <w:szCs w:val="20"/>
        </w:rPr>
        <w:t xml:space="preserve"> climate models indicate that the climate of the Moab region will continue to warm well into the 21</w:t>
      </w:r>
      <w:r w:rsidR="00F8308F" w:rsidRPr="00CD3DE8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F8308F" w:rsidRPr="00CD3DE8">
        <w:rPr>
          <w:rFonts w:ascii="Times New Roman" w:hAnsi="Times New Roman" w:cs="Times New Roman"/>
          <w:sz w:val="20"/>
          <w:szCs w:val="20"/>
        </w:rPr>
        <w:t xml:space="preserve"> </w:t>
      </w:r>
      <w:r w:rsidR="00CD3DE8">
        <w:rPr>
          <w:rFonts w:ascii="Times New Roman" w:hAnsi="Times New Roman" w:cs="Times New Roman"/>
          <w:sz w:val="20"/>
          <w:szCs w:val="20"/>
        </w:rPr>
        <w:t>C</w:t>
      </w:r>
      <w:r w:rsidR="00F8308F" w:rsidRPr="00CD3DE8">
        <w:rPr>
          <w:rFonts w:ascii="Times New Roman" w:hAnsi="Times New Roman" w:cs="Times New Roman"/>
          <w:sz w:val="20"/>
          <w:szCs w:val="20"/>
        </w:rPr>
        <w:t>entury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  <w:lang w:bidi="en-US"/>
        </w:rPr>
        <w:t>; and</w:t>
      </w:r>
    </w:p>
    <w:p w14:paraId="4AACAEA2" w14:textId="260CC7EA" w:rsidR="00F87850" w:rsidRPr="00CD3DE8" w:rsidRDefault="006D7A6B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WHEREAS, a warmer future climate will create mild drought conditions even during years of average precipitation by increasing evaporation transpiratio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n; and</w:t>
      </w:r>
    </w:p>
    <w:p w14:paraId="51FC2287" w14:textId="75025D5E" w:rsidR="00753E6E" w:rsidRPr="00CD3DE8" w:rsidRDefault="00753E6E" w:rsidP="000F4DFB">
      <w:pPr>
        <w:spacing w:line="360" w:lineRule="auto"/>
        <w:ind w:right="781" w:firstLine="720"/>
        <w:rPr>
          <w:rFonts w:ascii="Times New Roman" w:hAnsi="Times New Roman" w:cs="Times New Roman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WHEREAS,</w:t>
      </w:r>
      <w:r w:rsidR="006D7A6B" w:rsidRPr="00CD3DE8">
        <w:rPr>
          <w:rFonts w:ascii="Times New Roman" w:hAnsi="Times New Roman" w:cs="Times New Roman"/>
          <w:w w:val="105"/>
          <w:sz w:val="20"/>
          <w:szCs w:val="20"/>
        </w:rPr>
        <w:t xml:space="preserve"> models for Spanish Valley predict an increase in the number and severity of wildfires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; and</w:t>
      </w:r>
    </w:p>
    <w:p w14:paraId="40DDBC5D" w14:textId="3D7F1AA5" w:rsidR="008E54D5" w:rsidRPr="00CD3DE8" w:rsidRDefault="008E54D5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WHEREAS,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models predict more extreme precipitation events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; and</w:t>
      </w:r>
    </w:p>
    <w:p w14:paraId="300F474B" w14:textId="03F35EEC" w:rsidR="00F8308F" w:rsidRPr="00CD3DE8" w:rsidRDefault="00F8308F" w:rsidP="00CD3DE8">
      <w:pPr>
        <w:spacing w:line="360" w:lineRule="auto"/>
        <w:ind w:right="781" w:firstLine="720"/>
        <w:rPr>
          <w:rFonts w:ascii="Times New Roman" w:hAnsi="Times New Roman" w:cs="Times New Roman"/>
          <w:sz w:val="20"/>
          <w:szCs w:val="20"/>
        </w:rPr>
      </w:pPr>
      <w:r w:rsidRPr="00CD3DE8">
        <w:rPr>
          <w:rFonts w:ascii="Times New Roman" w:hAnsi="Times New Roman" w:cs="Times New Roman"/>
          <w:sz w:val="20"/>
          <w:szCs w:val="20"/>
        </w:rPr>
        <w:t>WHEREAS, increasing urban development and impervious surfaces, work in opposition to the collective goal of increasing regional water supply</w:t>
      </w:r>
      <w:r w:rsidR="00CD3DE8" w:rsidRPr="00CD3DE8">
        <w:rPr>
          <w:rFonts w:ascii="Times New Roman" w:hAnsi="Times New Roman" w:cs="Times New Roman"/>
          <w:sz w:val="20"/>
          <w:szCs w:val="20"/>
        </w:rPr>
        <w:t>; and</w:t>
      </w:r>
    </w:p>
    <w:p w14:paraId="056E67E1" w14:textId="1B73B735" w:rsidR="00753E6E" w:rsidRPr="00CD3DE8" w:rsidRDefault="00753E6E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WHEREAS,</w:t>
      </w:r>
      <w:r w:rsidR="00F8308F" w:rsidRPr="00CD3DE8">
        <w:rPr>
          <w:rFonts w:ascii="Times New Roman" w:hAnsi="Times New Roman" w:cs="Times New Roman"/>
          <w:w w:val="105"/>
          <w:sz w:val="20"/>
          <w:szCs w:val="20"/>
        </w:rPr>
        <w:t xml:space="preserve"> the municipal government is responsible to promote the public health and safety of its residents, including access to clean air, clean water and a livable environment; and</w:t>
      </w:r>
    </w:p>
    <w:p w14:paraId="414839CE" w14:textId="4342398C" w:rsidR="00F8308F" w:rsidRPr="00CD3DE8" w:rsidRDefault="00F8308F" w:rsidP="00CD3DE8">
      <w:pPr>
        <w:spacing w:line="360" w:lineRule="auto"/>
        <w:ind w:right="781" w:firstLine="720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WHEREAS, the City of Moab, 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Grand Water and Sewer Service Agency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San Juan Spanish Valley Special Service District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, and other key water supply stakeholders should systematically examine and address anticipated impacts of climate hazards to mitigate climate risks.</w:t>
      </w:r>
    </w:p>
    <w:p w14:paraId="4AFE84C0" w14:textId="2DE1595A" w:rsidR="00753E6E" w:rsidRPr="00CD3DE8" w:rsidRDefault="00753E6E" w:rsidP="00F8308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NOW, THEREFORE, BE IT RESOLVED by the </w:t>
      </w:r>
      <w:r w:rsidR="00AF3946" w:rsidRPr="00CD3DE8">
        <w:rPr>
          <w:rFonts w:ascii="Times New Roman" w:hAnsi="Times New Roman" w:cs="Times New Roman"/>
          <w:w w:val="105"/>
          <w:sz w:val="20"/>
          <w:szCs w:val="20"/>
        </w:rPr>
        <w:t>Moab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City Council and Mayor as follows:</w:t>
      </w:r>
    </w:p>
    <w:p w14:paraId="6CAA1393" w14:textId="1B218952" w:rsidR="00753E6E" w:rsidRPr="00CD3DE8" w:rsidRDefault="00041D13" w:rsidP="00F8308F">
      <w:p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1. </w:t>
      </w:r>
      <w:r w:rsidR="00F87850" w:rsidRPr="00CD3DE8">
        <w:rPr>
          <w:rFonts w:ascii="Times New Roman" w:hAnsi="Times New Roman" w:cs="Times New Roman"/>
          <w:w w:val="105"/>
          <w:sz w:val="20"/>
          <w:szCs w:val="20"/>
        </w:rPr>
        <w:t>Ado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pt the following recommendations and direct staff to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 xml:space="preserve"> evaluate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amend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ing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land-use codes accordingly</w:t>
      </w:r>
      <w:r w:rsidR="00B97E54" w:rsidRPr="00CD3DE8">
        <w:rPr>
          <w:rFonts w:ascii="Times New Roman" w:hAnsi="Times New Roman" w:cs="Times New Roman"/>
          <w:sz w:val="20"/>
          <w:szCs w:val="20"/>
        </w:rPr>
        <w:t xml:space="preserve"> 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to ameliorate the negative changes associated with the effects of our changing climate:</w:t>
      </w:r>
    </w:p>
    <w:p w14:paraId="279BD01E" w14:textId="05F701AB" w:rsidR="009448FF" w:rsidRPr="00CD3DE8" w:rsidRDefault="002A4EF5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Evaluate r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>epair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ing the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 xml:space="preserve"> connection </w:t>
      </w:r>
      <w:r w:rsidR="00276D30" w:rsidRPr="00CD3DE8">
        <w:rPr>
          <w:rFonts w:ascii="Times New Roman" w:hAnsi="Times New Roman" w:cs="Times New Roman"/>
          <w:w w:val="105"/>
          <w:sz w:val="20"/>
          <w:szCs w:val="20"/>
        </w:rPr>
        <w:t>to Grand Wa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>ter and Sewer Service Agency in order to</w:t>
      </w:r>
      <w:r w:rsidR="00276D30" w:rsidRPr="00CD3DE8">
        <w:rPr>
          <w:rFonts w:ascii="Times New Roman" w:hAnsi="Times New Roman" w:cs="Times New Roman"/>
          <w:w w:val="105"/>
          <w:sz w:val="20"/>
          <w:szCs w:val="20"/>
        </w:rPr>
        <w:t xml:space="preserve"> reduce </w:t>
      </w:r>
      <w:r w:rsidR="00CD3DE8">
        <w:rPr>
          <w:rFonts w:ascii="Times New Roman" w:hAnsi="Times New Roman" w:cs="Times New Roman"/>
          <w:w w:val="105"/>
          <w:sz w:val="20"/>
          <w:szCs w:val="20"/>
        </w:rPr>
        <w:t>its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76D30" w:rsidRPr="00CD3DE8">
        <w:rPr>
          <w:rFonts w:ascii="Times New Roman" w:hAnsi="Times New Roman" w:cs="Times New Roman"/>
          <w:w w:val="105"/>
          <w:sz w:val="20"/>
          <w:szCs w:val="20"/>
        </w:rPr>
        <w:t>winter groundwater pumping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 xml:space="preserve"> and manage our winter overflow. </w:t>
      </w:r>
    </w:p>
    <w:p w14:paraId="7099CC35" w14:textId="432534D4" w:rsidR="00CD3DE8" w:rsidRPr="00CD3DE8" w:rsidRDefault="008E79F6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Amend commercial building codes to require buildings 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 xml:space="preserve">greater than 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5,000 square feet to install gray water systems and require all buildings have </w:t>
      </w:r>
      <w:proofErr w:type="spellStart"/>
      <w:r w:rsidRPr="00CD3DE8">
        <w:rPr>
          <w:rFonts w:ascii="Times New Roman" w:hAnsi="Times New Roman" w:cs="Times New Roman"/>
          <w:w w:val="105"/>
          <w:sz w:val="20"/>
          <w:szCs w:val="20"/>
        </w:rPr>
        <w:t>WaterSense</w:t>
      </w:r>
      <w:proofErr w:type="spellEnd"/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fixtures and rain catchment systems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</w:p>
    <w:p w14:paraId="5463F83B" w14:textId="174B27E5" w:rsidR="009448FF" w:rsidRPr="00CD3DE8" w:rsidRDefault="002A4EF5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Incentivize </w:t>
      </w:r>
      <w:r w:rsidR="00276D30" w:rsidRPr="00CD3DE8">
        <w:rPr>
          <w:rFonts w:ascii="Times New Roman" w:hAnsi="Times New Roman" w:cs="Times New Roman"/>
          <w:w w:val="105"/>
          <w:sz w:val="20"/>
          <w:szCs w:val="20"/>
        </w:rPr>
        <w:t>rain catchments as dual storm water management and non-potable supply for irrigation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for residential structures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</w:p>
    <w:p w14:paraId="1A36C454" w14:textId="56239355" w:rsidR="009448FF" w:rsidRPr="00CD3DE8" w:rsidRDefault="00276D30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Review and amend water conservation regulations to achieve consistency am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 xml:space="preserve">ong the City, </w:t>
      </w:r>
      <w:r w:rsidR="002A4EF5" w:rsidRPr="00CD3DE8">
        <w:rPr>
          <w:rFonts w:ascii="Times New Roman" w:hAnsi="Times New Roman" w:cs="Times New Roman"/>
          <w:w w:val="105"/>
          <w:sz w:val="20"/>
          <w:szCs w:val="20"/>
        </w:rPr>
        <w:t xml:space="preserve">Grand 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>County</w:t>
      </w:r>
      <w:r w:rsidR="002A4EF5" w:rsidRPr="00CD3DE8">
        <w:rPr>
          <w:rFonts w:ascii="Times New Roman" w:hAnsi="Times New Roman" w:cs="Times New Roman"/>
          <w:w w:val="105"/>
          <w:sz w:val="20"/>
          <w:szCs w:val="20"/>
        </w:rPr>
        <w:t>, and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 xml:space="preserve"> San Juan</w:t>
      </w:r>
      <w:r w:rsidR="002A4EF5" w:rsidRPr="00CD3DE8">
        <w:rPr>
          <w:rFonts w:ascii="Times New Roman" w:hAnsi="Times New Roman" w:cs="Times New Roman"/>
          <w:w w:val="105"/>
          <w:sz w:val="20"/>
          <w:szCs w:val="20"/>
        </w:rPr>
        <w:t xml:space="preserve"> County</w:t>
      </w:r>
      <w:r w:rsidR="002A475F" w:rsidRPr="00CD3DE8">
        <w:rPr>
          <w:rFonts w:ascii="Times New Roman" w:hAnsi="Times New Roman" w:cs="Times New Roman"/>
          <w:w w:val="105"/>
          <w:sz w:val="20"/>
          <w:szCs w:val="20"/>
        </w:rPr>
        <w:t xml:space="preserve"> based on input from staff and Water Conservation &amp; Drought Advisory Board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</w:p>
    <w:p w14:paraId="50374E1B" w14:textId="6D7EF2AE" w:rsidR="00B97E54" w:rsidRPr="00CD3DE8" w:rsidRDefault="002A4EF5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Evaluate options for c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reat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ing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and maintain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ing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large shallow basins to capture storm water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</w:p>
    <w:p w14:paraId="74BC3C8B" w14:textId="6AF0A016" w:rsidR="00B97E54" w:rsidRPr="00CD3DE8" w:rsidRDefault="003A556A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Evaluate</w:t>
      </w:r>
      <w:r w:rsidR="002A4EF5" w:rsidRPr="00CD3DE8">
        <w:rPr>
          <w:rFonts w:ascii="Times New Roman" w:hAnsi="Times New Roman" w:cs="Times New Roman"/>
          <w:w w:val="105"/>
          <w:sz w:val="20"/>
          <w:szCs w:val="20"/>
        </w:rPr>
        <w:t xml:space="preserve"> a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mend</w:t>
      </w:r>
      <w:r w:rsidR="002A4EF5" w:rsidRPr="00CD3DE8">
        <w:rPr>
          <w:rFonts w:ascii="Times New Roman" w:hAnsi="Times New Roman" w:cs="Times New Roman"/>
          <w:w w:val="105"/>
          <w:sz w:val="20"/>
          <w:szCs w:val="20"/>
        </w:rPr>
        <w:t>ing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building codes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 xml:space="preserve"> and 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regulations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r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equir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ing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sediment traps, bio-retention buffers/swales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>,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and pervious pavement to slow runoff in new developments.</w:t>
      </w:r>
    </w:p>
    <w:p w14:paraId="746B9F6C" w14:textId="3D2D2620" w:rsidR="00B97E54" w:rsidRPr="00CD3DE8" w:rsidRDefault="002A475F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Pursue grants or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 xml:space="preserve"> consider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se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>t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>ing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aside storm water management fees to f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und landscaping incentives 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 xml:space="preserve">equaling 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$45,000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 xml:space="preserve"> for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residents and $5,000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 xml:space="preserve"> for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commercial</w:t>
      </w:r>
      <w:r w:rsidR="008E79F6" w:rsidRPr="00CD3DE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CD3DE8" w:rsidRPr="00CD3DE8">
        <w:rPr>
          <w:rFonts w:ascii="Times New Roman" w:hAnsi="Times New Roman" w:cs="Times New Roman"/>
          <w:w w:val="105"/>
          <w:sz w:val="20"/>
          <w:szCs w:val="20"/>
        </w:rPr>
        <w:t xml:space="preserve">customers 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to slow the flow and reduce erosion (i.e., terracing, ponds, gravel pits)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14:paraId="5FCFE70C" w14:textId="3A30F4DF" w:rsidR="00B97E54" w:rsidRPr="00CD3DE8" w:rsidRDefault="00B97E54" w:rsidP="00F8308F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>Increase education and availability of mulch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14:paraId="0998CAE4" w14:textId="19B44DAD" w:rsidR="006D781C" w:rsidRPr="00CD3DE8" w:rsidRDefault="002A475F" w:rsidP="00CD3DE8">
      <w:pPr>
        <w:numPr>
          <w:ilvl w:val="0"/>
          <w:numId w:val="3"/>
        </w:numPr>
        <w:tabs>
          <w:tab w:val="left" w:pos="3074"/>
          <w:tab w:val="left" w:pos="3075"/>
        </w:tabs>
        <w:spacing w:line="360" w:lineRule="auto"/>
        <w:ind w:right="749"/>
        <w:rPr>
          <w:rFonts w:ascii="Times New Roman" w:hAnsi="Times New Roman" w:cs="Times New Roman"/>
          <w:w w:val="105"/>
          <w:sz w:val="20"/>
          <w:szCs w:val="20"/>
        </w:rPr>
      </w:pPr>
      <w:r w:rsidRPr="00CD3DE8">
        <w:rPr>
          <w:rFonts w:ascii="Times New Roman" w:hAnsi="Times New Roman" w:cs="Times New Roman"/>
          <w:w w:val="105"/>
          <w:sz w:val="20"/>
          <w:szCs w:val="20"/>
        </w:rPr>
        <w:t xml:space="preserve">Participate in Ground Water Monitoring Plan (i.e., purchase probe/weir - </w:t>
      </w:r>
      <w:r w:rsidR="00B97E54" w:rsidRPr="00CD3DE8">
        <w:rPr>
          <w:rFonts w:ascii="Times New Roman" w:hAnsi="Times New Roman" w:cs="Times New Roman"/>
          <w:w w:val="105"/>
          <w:sz w:val="20"/>
          <w:szCs w:val="20"/>
        </w:rPr>
        <w:t>$3,000)</w:t>
      </w:r>
      <w:r w:rsidR="003A556A" w:rsidRPr="00CD3DE8">
        <w:rPr>
          <w:rFonts w:ascii="Times New Roman" w:hAnsi="Times New Roman" w:cs="Times New Roman"/>
          <w:w w:val="105"/>
          <w:sz w:val="20"/>
          <w:szCs w:val="20"/>
        </w:rPr>
        <w:t>.</w:t>
      </w:r>
    </w:p>
    <w:p w14:paraId="45AC52BC" w14:textId="7D10484C" w:rsidR="006D781C" w:rsidRPr="00CD3DE8" w:rsidRDefault="003312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>2</w:t>
      </w:r>
      <w:r w:rsidR="00F613E9" w:rsidRPr="00CD3DE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 xml:space="preserve">Effective Date and Duration.  This resolution shall take effect immediately upon passage by the City Council, regardless of the date of publication. </w:t>
      </w:r>
    </w:p>
    <w:p w14:paraId="2D686138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667F15" w14:textId="3A355761" w:rsidR="006D781C" w:rsidRPr="00CD3DE8" w:rsidRDefault="00942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>PASSED AND APPROVED by</w:t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 xml:space="preserve"> a major</w:t>
      </w:r>
      <w:r w:rsidR="00F87850" w:rsidRPr="00CD3DE8">
        <w:rPr>
          <w:rFonts w:ascii="Times New Roman" w:eastAsia="Times New Roman" w:hAnsi="Times New Roman" w:cs="Times New Roman"/>
          <w:sz w:val="20"/>
          <w:szCs w:val="20"/>
        </w:rPr>
        <w:t xml:space="preserve">ity of the City Council, this </w:t>
      </w:r>
      <w:r w:rsidR="00B97E54" w:rsidRPr="00CD3DE8">
        <w:rPr>
          <w:rFonts w:ascii="Times New Roman" w:eastAsia="Times New Roman" w:hAnsi="Times New Roman" w:cs="Times New Roman"/>
          <w:sz w:val="20"/>
          <w:szCs w:val="20"/>
        </w:rPr>
        <w:t>12</w:t>
      </w:r>
      <w:r w:rsidR="00CD3DE8" w:rsidRPr="00CD3DE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D3D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5DEF" w:rsidRPr="00CD3DE8">
        <w:rPr>
          <w:rFonts w:ascii="Times New Roman" w:eastAsia="Times New Roman" w:hAnsi="Times New Roman" w:cs="Times New Roman"/>
          <w:sz w:val="20"/>
          <w:szCs w:val="20"/>
        </w:rPr>
        <w:t>day</w:t>
      </w:r>
      <w:r w:rsidR="00F87850" w:rsidRPr="00CD3D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7E54" w:rsidRPr="00CD3DE8">
        <w:rPr>
          <w:rFonts w:ascii="Times New Roman" w:eastAsia="Times New Roman" w:hAnsi="Times New Roman" w:cs="Times New Roman"/>
          <w:sz w:val="20"/>
          <w:szCs w:val="20"/>
        </w:rPr>
        <w:t xml:space="preserve">of November </w:t>
      </w:r>
      <w:r w:rsidR="00753E6E" w:rsidRPr="00CD3DE8">
        <w:rPr>
          <w:rFonts w:ascii="Times New Roman" w:eastAsia="Times New Roman" w:hAnsi="Times New Roman" w:cs="Times New Roman"/>
          <w:sz w:val="20"/>
          <w:szCs w:val="20"/>
        </w:rPr>
        <w:t>2019</w:t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09B7A17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A7A610" w14:textId="63DD6B0A" w:rsidR="006D781C" w:rsidRPr="00CD3DE8" w:rsidRDefault="00B42B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>By</w:t>
      </w:r>
      <w:r w:rsidR="00383D61" w:rsidRPr="00CD3DE8">
        <w:rPr>
          <w:rFonts w:ascii="Times New Roman" w:eastAsia="Times New Roman" w:hAnsi="Times New Roman" w:cs="Times New Roman"/>
          <w:sz w:val="20"/>
          <w:szCs w:val="20"/>
        </w:rPr>
        <w:t>: _</w:t>
      </w:r>
      <w:r w:rsidRPr="00CD3DE8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  <w:t>_________________</w:t>
      </w:r>
    </w:p>
    <w:p w14:paraId="059A8843" w14:textId="7E13BA4C" w:rsidR="006D781C" w:rsidRPr="00CD3DE8" w:rsidRDefault="00B42B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 xml:space="preserve">Emily S. Niehaus, Mayor </w:t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="004044AA"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>Date</w:t>
      </w:r>
    </w:p>
    <w:p w14:paraId="146A1AA7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8D47DE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0AE943" w14:textId="77777777" w:rsidR="006D781C" w:rsidRPr="00CD3DE8" w:rsidRDefault="00B42B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>Attest:</w:t>
      </w:r>
    </w:p>
    <w:p w14:paraId="35A39279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36EB58" w14:textId="0FA66B14" w:rsidR="006D781C" w:rsidRPr="00CD3DE8" w:rsidRDefault="00B42B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>By</w:t>
      </w:r>
      <w:r w:rsidR="00383D61" w:rsidRPr="00CD3DE8">
        <w:rPr>
          <w:rFonts w:ascii="Times New Roman" w:eastAsia="Times New Roman" w:hAnsi="Times New Roman" w:cs="Times New Roman"/>
          <w:sz w:val="20"/>
          <w:szCs w:val="20"/>
        </w:rPr>
        <w:t>: _</w:t>
      </w:r>
      <w:r w:rsidRPr="00CD3DE8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Pr="00CD3DE8">
        <w:rPr>
          <w:rFonts w:ascii="Times New Roman" w:eastAsia="Times New Roman" w:hAnsi="Times New Roman" w:cs="Times New Roman"/>
          <w:sz w:val="20"/>
          <w:szCs w:val="20"/>
        </w:rPr>
        <w:tab/>
        <w:t>________________</w:t>
      </w:r>
    </w:p>
    <w:p w14:paraId="58EF826F" w14:textId="4D05262B" w:rsidR="006D781C" w:rsidRPr="00CD3DE8" w:rsidRDefault="00AF3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DE8">
        <w:rPr>
          <w:rFonts w:ascii="Times New Roman" w:eastAsia="Times New Roman" w:hAnsi="Times New Roman" w:cs="Times New Roman"/>
          <w:sz w:val="20"/>
          <w:szCs w:val="20"/>
        </w:rPr>
        <w:t>Sommar Johnson</w:t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>, Recorder</w:t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ab/>
      </w:r>
      <w:r w:rsidR="00B42B8B" w:rsidRPr="00CD3DE8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</w:p>
    <w:p w14:paraId="776BB2A3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B12101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4C2511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36C0D6" w14:textId="77777777" w:rsidR="006D781C" w:rsidRPr="00CD3DE8" w:rsidRDefault="006D7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6D781C" w:rsidRPr="00CD3DE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BBA3D" w14:textId="77777777" w:rsidR="00436160" w:rsidRDefault="00436160">
      <w:pPr>
        <w:spacing w:after="0" w:line="240" w:lineRule="auto"/>
      </w:pPr>
      <w:r>
        <w:separator/>
      </w:r>
    </w:p>
  </w:endnote>
  <w:endnote w:type="continuationSeparator" w:id="0">
    <w:p w14:paraId="1DFB8327" w14:textId="77777777" w:rsidR="00436160" w:rsidRDefault="0043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E502" w14:textId="371B0A8C" w:rsidR="006D781C" w:rsidRDefault="00B42B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65DE">
      <w:rPr>
        <w:noProof/>
        <w:color w:val="000000"/>
      </w:rPr>
      <w:t>1</w:t>
    </w:r>
    <w:r>
      <w:rPr>
        <w:color w:val="000000"/>
      </w:rPr>
      <w:fldChar w:fldCharType="end"/>
    </w:r>
  </w:p>
  <w:p w14:paraId="78945457" w14:textId="77777777" w:rsidR="006D781C" w:rsidRDefault="006D78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EC36" w14:textId="77777777" w:rsidR="00436160" w:rsidRDefault="00436160">
      <w:pPr>
        <w:spacing w:after="0" w:line="240" w:lineRule="auto"/>
      </w:pPr>
      <w:r>
        <w:separator/>
      </w:r>
    </w:p>
  </w:footnote>
  <w:footnote w:type="continuationSeparator" w:id="0">
    <w:p w14:paraId="19753C8C" w14:textId="77777777" w:rsidR="00436160" w:rsidRDefault="0043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69FF"/>
    <w:multiLevelType w:val="multilevel"/>
    <w:tmpl w:val="50A41CD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276F6B"/>
    <w:multiLevelType w:val="hybridMultilevel"/>
    <w:tmpl w:val="5C4A1204"/>
    <w:lvl w:ilvl="0" w:tplc="6066AD1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54A4930">
      <w:start w:val="1"/>
      <w:numFmt w:val="decimal"/>
      <w:lvlText w:val="%2."/>
      <w:lvlJc w:val="left"/>
      <w:pPr>
        <w:ind w:left="1616" w:hanging="726"/>
      </w:pPr>
      <w:rPr>
        <w:rFonts w:ascii="Times New Roman" w:eastAsia="Times New Roman" w:hAnsi="Times New Roman" w:cs="Times New Roman" w:hint="default"/>
        <w:color w:val="262626"/>
        <w:w w:val="105"/>
        <w:sz w:val="23"/>
        <w:szCs w:val="23"/>
        <w:lang w:val="en-US" w:eastAsia="en-US" w:bidi="en-US"/>
      </w:rPr>
    </w:lvl>
    <w:lvl w:ilvl="2" w:tplc="1C88E550">
      <w:numFmt w:val="bullet"/>
      <w:lvlText w:val="•"/>
      <w:lvlJc w:val="left"/>
      <w:pPr>
        <w:ind w:left="2666" w:hanging="726"/>
      </w:pPr>
      <w:rPr>
        <w:rFonts w:hint="default"/>
        <w:lang w:val="en-US" w:eastAsia="en-US" w:bidi="en-US"/>
      </w:rPr>
    </w:lvl>
    <w:lvl w:ilvl="3" w:tplc="BF4EB732">
      <w:numFmt w:val="bullet"/>
      <w:lvlText w:val="•"/>
      <w:lvlJc w:val="left"/>
      <w:pPr>
        <w:ind w:left="3713" w:hanging="726"/>
      </w:pPr>
      <w:rPr>
        <w:rFonts w:hint="default"/>
        <w:lang w:val="en-US" w:eastAsia="en-US" w:bidi="en-US"/>
      </w:rPr>
    </w:lvl>
    <w:lvl w:ilvl="4" w:tplc="A6BC1D1C">
      <w:numFmt w:val="bullet"/>
      <w:lvlText w:val="•"/>
      <w:lvlJc w:val="left"/>
      <w:pPr>
        <w:ind w:left="4760" w:hanging="726"/>
      </w:pPr>
      <w:rPr>
        <w:rFonts w:hint="default"/>
        <w:lang w:val="en-US" w:eastAsia="en-US" w:bidi="en-US"/>
      </w:rPr>
    </w:lvl>
    <w:lvl w:ilvl="5" w:tplc="342A95F0">
      <w:numFmt w:val="bullet"/>
      <w:lvlText w:val="•"/>
      <w:lvlJc w:val="left"/>
      <w:pPr>
        <w:ind w:left="5806" w:hanging="726"/>
      </w:pPr>
      <w:rPr>
        <w:rFonts w:hint="default"/>
        <w:lang w:val="en-US" w:eastAsia="en-US" w:bidi="en-US"/>
      </w:rPr>
    </w:lvl>
    <w:lvl w:ilvl="6" w:tplc="951A9ED0">
      <w:numFmt w:val="bullet"/>
      <w:lvlText w:val="•"/>
      <w:lvlJc w:val="left"/>
      <w:pPr>
        <w:ind w:left="6853" w:hanging="726"/>
      </w:pPr>
      <w:rPr>
        <w:rFonts w:hint="default"/>
        <w:lang w:val="en-US" w:eastAsia="en-US" w:bidi="en-US"/>
      </w:rPr>
    </w:lvl>
    <w:lvl w:ilvl="7" w:tplc="1C7E6172">
      <w:numFmt w:val="bullet"/>
      <w:lvlText w:val="•"/>
      <w:lvlJc w:val="left"/>
      <w:pPr>
        <w:ind w:left="7900" w:hanging="726"/>
      </w:pPr>
      <w:rPr>
        <w:rFonts w:hint="default"/>
        <w:lang w:val="en-US" w:eastAsia="en-US" w:bidi="en-US"/>
      </w:rPr>
    </w:lvl>
    <w:lvl w:ilvl="8" w:tplc="D294FEC0">
      <w:numFmt w:val="bullet"/>
      <w:lvlText w:val="•"/>
      <w:lvlJc w:val="left"/>
      <w:pPr>
        <w:ind w:left="8946" w:hanging="726"/>
      </w:pPr>
      <w:rPr>
        <w:rFonts w:hint="default"/>
        <w:lang w:val="en-US" w:eastAsia="en-US" w:bidi="en-US"/>
      </w:rPr>
    </w:lvl>
  </w:abstractNum>
  <w:abstractNum w:abstractNumId="2" w15:restartNumberingAfterBreak="0">
    <w:nsid w:val="75E22ADC"/>
    <w:multiLevelType w:val="hybridMultilevel"/>
    <w:tmpl w:val="C68C64AE"/>
    <w:lvl w:ilvl="0" w:tplc="D122C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0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E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ED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5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6C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CA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0F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2B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1C"/>
    <w:rsid w:val="0000241C"/>
    <w:rsid w:val="00041D13"/>
    <w:rsid w:val="000D5DEF"/>
    <w:rsid w:val="000F4DFB"/>
    <w:rsid w:val="00201AB1"/>
    <w:rsid w:val="002035F9"/>
    <w:rsid w:val="00276D30"/>
    <w:rsid w:val="00283ACB"/>
    <w:rsid w:val="002A475F"/>
    <w:rsid w:val="002A4EF5"/>
    <w:rsid w:val="00331297"/>
    <w:rsid w:val="00372EF7"/>
    <w:rsid w:val="00383D61"/>
    <w:rsid w:val="003A556A"/>
    <w:rsid w:val="003D790B"/>
    <w:rsid w:val="003F1D30"/>
    <w:rsid w:val="004044AA"/>
    <w:rsid w:val="00436160"/>
    <w:rsid w:val="00505F46"/>
    <w:rsid w:val="005A2D78"/>
    <w:rsid w:val="006B0B76"/>
    <w:rsid w:val="006D2A49"/>
    <w:rsid w:val="006D781C"/>
    <w:rsid w:val="006D7A6B"/>
    <w:rsid w:val="00721B7F"/>
    <w:rsid w:val="00753E6E"/>
    <w:rsid w:val="007D2F2D"/>
    <w:rsid w:val="008E54D5"/>
    <w:rsid w:val="008E79F6"/>
    <w:rsid w:val="00942917"/>
    <w:rsid w:val="009448FF"/>
    <w:rsid w:val="009663D2"/>
    <w:rsid w:val="00A8404E"/>
    <w:rsid w:val="00AB65DE"/>
    <w:rsid w:val="00AF3946"/>
    <w:rsid w:val="00B42B8B"/>
    <w:rsid w:val="00B97E54"/>
    <w:rsid w:val="00BD1D13"/>
    <w:rsid w:val="00BF1DCC"/>
    <w:rsid w:val="00C3279F"/>
    <w:rsid w:val="00CD3DE8"/>
    <w:rsid w:val="00CE377B"/>
    <w:rsid w:val="00D55C49"/>
    <w:rsid w:val="00F41034"/>
    <w:rsid w:val="00F613E9"/>
    <w:rsid w:val="00F8308F"/>
    <w:rsid w:val="00F87850"/>
    <w:rsid w:val="00FC15AB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3FF8"/>
  <w15:docId w15:val="{AF89AAB7-70B3-CE44-834E-CC77B5C9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753E6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53E6E"/>
    <w:rPr>
      <w:rFonts w:ascii="Georgia" w:eastAsia="Georgia" w:hAnsi="Georgia" w:cs="Georgia"/>
      <w:lang w:bidi="en-US"/>
    </w:rPr>
  </w:style>
  <w:style w:type="paragraph" w:styleId="ListParagraph">
    <w:name w:val="List Paragraph"/>
    <w:basedOn w:val="Normal"/>
    <w:uiPriority w:val="1"/>
    <w:qFormat/>
    <w:rsid w:val="00753E6E"/>
    <w:pPr>
      <w:widowControl w:val="0"/>
      <w:autoSpaceDE w:val="0"/>
      <w:autoSpaceDN w:val="0"/>
      <w:spacing w:after="0" w:line="269" w:lineRule="exact"/>
      <w:ind w:left="840" w:hanging="360"/>
    </w:pPr>
    <w:rPr>
      <w:rFonts w:ascii="Georgia" w:eastAsia="Georgia" w:hAnsi="Georgia" w:cs="Georg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4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358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46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938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Rosemarie Russo</dc:creator>
  <cp:lastModifiedBy>Rosemarie Russo</cp:lastModifiedBy>
  <cp:revision>2</cp:revision>
  <cp:lastPrinted>2019-11-05T21:55:00Z</cp:lastPrinted>
  <dcterms:created xsi:type="dcterms:W3CDTF">2020-05-13T02:11:00Z</dcterms:created>
  <dcterms:modified xsi:type="dcterms:W3CDTF">2020-05-13T02:11:00Z</dcterms:modified>
</cp:coreProperties>
</file>